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B5A7" w14:textId="77777777" w:rsidR="0083107C" w:rsidRDefault="0083107C" w:rsidP="0083107C">
      <w:pPr>
        <w:spacing w:after="360" w:line="540" w:lineRule="atLeast"/>
        <w:outlineLvl w:val="2"/>
        <w:rPr>
          <w:rFonts w:ascii="Tahoma" w:eastAsia="Times New Roman" w:hAnsi="Tahoma" w:cs="Tahoma"/>
          <w:color w:val="000433"/>
          <w:kern w:val="0"/>
          <w:sz w:val="36"/>
          <w:szCs w:val="36"/>
          <w:lang w:eastAsia="en-GB"/>
          <w14:ligatures w14:val="none"/>
        </w:rPr>
      </w:pPr>
      <w:r>
        <w:rPr>
          <w:rFonts w:ascii="Arial" w:eastAsia="Times New Roman" w:hAnsi="Arial" w:cs="Arial"/>
          <w:noProof/>
          <w:color w:val="000433"/>
          <w:kern w:val="0"/>
          <w:sz w:val="24"/>
          <w:szCs w:val="24"/>
          <w:lang w:eastAsia="en-GB"/>
        </w:rPr>
        <w:drawing>
          <wp:anchor distT="0" distB="0" distL="114300" distR="114300" simplePos="0" relativeHeight="251657216" behindDoc="0" locked="0" layoutInCell="1" allowOverlap="1" wp14:anchorId="28172ED3" wp14:editId="604A8CFA">
            <wp:simplePos x="0" y="0"/>
            <wp:positionH relativeFrom="column">
              <wp:posOffset>76200</wp:posOffset>
            </wp:positionH>
            <wp:positionV relativeFrom="paragraph">
              <wp:posOffset>133350</wp:posOffset>
            </wp:positionV>
            <wp:extent cx="2123440" cy="1827530"/>
            <wp:effectExtent l="0" t="0" r="0" b="1270"/>
            <wp:wrapThrough wrapText="bothSides">
              <wp:wrapPolygon edited="0">
                <wp:start x="0" y="0"/>
                <wp:lineTo x="0" y="21390"/>
                <wp:lineTo x="21316" y="21390"/>
                <wp:lineTo x="21316" y="0"/>
                <wp:lineTo x="0" y="0"/>
              </wp:wrapPolygon>
            </wp:wrapThrough>
            <wp:docPr id="1120044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4490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23440" cy="1827530"/>
                    </a:xfrm>
                    <a:prstGeom prst="rect">
                      <a:avLst/>
                    </a:prstGeom>
                  </pic:spPr>
                </pic:pic>
              </a:graphicData>
            </a:graphic>
            <wp14:sizeRelH relativeFrom="page">
              <wp14:pctWidth>0</wp14:pctWidth>
            </wp14:sizeRelH>
            <wp14:sizeRelV relativeFrom="page">
              <wp14:pctHeight>0</wp14:pctHeight>
            </wp14:sizeRelV>
          </wp:anchor>
        </w:drawing>
      </w:r>
      <w:r>
        <w:rPr>
          <w:rFonts w:ascii="Tahoma" w:eastAsia="Times New Roman" w:hAnsi="Tahoma" w:cs="Tahoma"/>
          <w:color w:val="000433"/>
          <w:kern w:val="0"/>
          <w:sz w:val="36"/>
          <w:szCs w:val="36"/>
          <w:lang w:eastAsia="en-GB"/>
          <w14:ligatures w14:val="none"/>
        </w:rPr>
        <w:t>P</w:t>
      </w:r>
      <w:r w:rsidRPr="0083107C">
        <w:rPr>
          <w:rFonts w:ascii="Tahoma" w:eastAsia="Times New Roman" w:hAnsi="Tahoma" w:cs="Tahoma"/>
          <w:color w:val="000433"/>
          <w:kern w:val="0"/>
          <w:sz w:val="36"/>
          <w:szCs w:val="36"/>
          <w:lang w:eastAsia="en-GB"/>
          <w14:ligatures w14:val="none"/>
        </w:rPr>
        <w:t xml:space="preserve">ermitted </w:t>
      </w:r>
      <w:r>
        <w:rPr>
          <w:rFonts w:ascii="Tahoma" w:eastAsia="Times New Roman" w:hAnsi="Tahoma" w:cs="Tahoma"/>
          <w:color w:val="000433"/>
          <w:kern w:val="0"/>
          <w:sz w:val="36"/>
          <w:szCs w:val="36"/>
          <w:lang w:eastAsia="en-GB"/>
          <w14:ligatures w14:val="none"/>
        </w:rPr>
        <w:t>P</w:t>
      </w:r>
      <w:r w:rsidRPr="0083107C">
        <w:rPr>
          <w:rFonts w:ascii="Tahoma" w:eastAsia="Times New Roman" w:hAnsi="Tahoma" w:cs="Tahoma"/>
          <w:color w:val="000433"/>
          <w:kern w:val="0"/>
          <w:sz w:val="36"/>
          <w:szCs w:val="36"/>
          <w:lang w:eastAsia="en-GB"/>
          <w14:ligatures w14:val="none"/>
        </w:rPr>
        <w:t xml:space="preserve">ayments and </w:t>
      </w:r>
      <w:r>
        <w:rPr>
          <w:rFonts w:ascii="Tahoma" w:eastAsia="Times New Roman" w:hAnsi="Tahoma" w:cs="Tahoma"/>
          <w:color w:val="000433"/>
          <w:kern w:val="0"/>
          <w:sz w:val="36"/>
          <w:szCs w:val="36"/>
          <w:lang w:eastAsia="en-GB"/>
          <w14:ligatures w14:val="none"/>
        </w:rPr>
        <w:t>T</w:t>
      </w:r>
      <w:r w:rsidRPr="0083107C">
        <w:rPr>
          <w:rFonts w:ascii="Tahoma" w:eastAsia="Times New Roman" w:hAnsi="Tahoma" w:cs="Tahoma"/>
          <w:color w:val="000433"/>
          <w:kern w:val="0"/>
          <w:sz w:val="36"/>
          <w:szCs w:val="36"/>
          <w:lang w:eastAsia="en-GB"/>
          <w14:ligatures w14:val="none"/>
        </w:rPr>
        <w:t xml:space="preserve">enant </w:t>
      </w:r>
      <w:r>
        <w:rPr>
          <w:rFonts w:ascii="Tahoma" w:eastAsia="Times New Roman" w:hAnsi="Tahoma" w:cs="Tahoma"/>
          <w:color w:val="000433"/>
          <w:kern w:val="0"/>
          <w:sz w:val="36"/>
          <w:szCs w:val="36"/>
          <w:lang w:eastAsia="en-GB"/>
          <w14:ligatures w14:val="none"/>
        </w:rPr>
        <w:t>P</w:t>
      </w:r>
      <w:r w:rsidRPr="0083107C">
        <w:rPr>
          <w:rFonts w:ascii="Tahoma" w:eastAsia="Times New Roman" w:hAnsi="Tahoma" w:cs="Tahoma"/>
          <w:color w:val="000433"/>
          <w:kern w:val="0"/>
          <w:sz w:val="36"/>
          <w:szCs w:val="36"/>
          <w:lang w:eastAsia="en-GB"/>
          <w14:ligatures w14:val="none"/>
        </w:rPr>
        <w:t xml:space="preserve">rotection </w:t>
      </w:r>
      <w:r>
        <w:rPr>
          <w:rFonts w:ascii="Tahoma" w:eastAsia="Times New Roman" w:hAnsi="Tahoma" w:cs="Tahoma"/>
          <w:color w:val="000433"/>
          <w:kern w:val="0"/>
          <w:sz w:val="36"/>
          <w:szCs w:val="36"/>
          <w:lang w:eastAsia="en-GB"/>
          <w14:ligatures w14:val="none"/>
        </w:rPr>
        <w:t>I</w:t>
      </w:r>
      <w:r w:rsidRPr="0083107C">
        <w:rPr>
          <w:rFonts w:ascii="Tahoma" w:eastAsia="Times New Roman" w:hAnsi="Tahoma" w:cs="Tahoma"/>
          <w:color w:val="000433"/>
          <w:kern w:val="0"/>
          <w:sz w:val="36"/>
          <w:szCs w:val="36"/>
          <w:lang w:eastAsia="en-GB"/>
          <w14:ligatures w14:val="none"/>
        </w:rPr>
        <w:t>nformation</w:t>
      </w:r>
    </w:p>
    <w:p w14:paraId="021146BF" w14:textId="1248A409" w:rsidR="0083107C" w:rsidRPr="0083107C" w:rsidRDefault="0083107C" w:rsidP="0083107C">
      <w:pPr>
        <w:spacing w:after="360" w:line="540" w:lineRule="atLeast"/>
        <w:outlineLvl w:val="2"/>
        <w:rPr>
          <w:rFonts w:ascii="Tahoma" w:eastAsia="Times New Roman" w:hAnsi="Tahoma" w:cs="Tahoma"/>
          <w:color w:val="000433"/>
          <w:kern w:val="0"/>
          <w:sz w:val="36"/>
          <w:szCs w:val="36"/>
          <w:lang w:eastAsia="en-GB"/>
          <w14:ligatures w14:val="none"/>
        </w:rPr>
      </w:pPr>
      <w:r w:rsidRPr="0083107C">
        <w:rPr>
          <w:rFonts w:ascii="Arial" w:eastAsia="Times New Roman" w:hAnsi="Arial" w:cs="Arial"/>
          <w:color w:val="000433"/>
          <w:kern w:val="0"/>
          <w:sz w:val="24"/>
          <w:szCs w:val="24"/>
          <w:lang w:eastAsia="en-GB"/>
          <w14:ligatures w14:val="none"/>
        </w:rPr>
        <w:t>As well as paying the rent, you may also be required to make the following permitted payments.</w:t>
      </w:r>
      <w:r>
        <w:rPr>
          <w:rFonts w:ascii="Arial" w:eastAsia="Times New Roman" w:hAnsi="Arial" w:cs="Arial"/>
          <w:color w:val="000433"/>
          <w:kern w:val="0"/>
          <w:sz w:val="24"/>
          <w:szCs w:val="24"/>
          <w:lang w:eastAsia="en-GB"/>
          <w14:ligatures w14:val="none"/>
        </w:rPr>
        <w:t xml:space="preserve"> </w:t>
      </w:r>
      <w:r w:rsidRPr="0083107C">
        <w:rPr>
          <w:rFonts w:ascii="Tahoma" w:eastAsia="Times New Roman" w:hAnsi="Tahoma" w:cs="Tahoma"/>
          <w:color w:val="000433"/>
          <w:kern w:val="0"/>
          <w:sz w:val="24"/>
          <w:szCs w:val="24"/>
          <w:lang w:eastAsia="en-GB"/>
          <w14:ligatures w14:val="none"/>
        </w:rPr>
        <w:t>Permitted payments</w:t>
      </w:r>
      <w:r>
        <w:rPr>
          <w:rFonts w:ascii="Tahoma" w:eastAsia="Times New Roman" w:hAnsi="Tahoma" w:cs="Tahoma"/>
          <w:color w:val="000433"/>
          <w:kern w:val="0"/>
          <w:sz w:val="24"/>
          <w:szCs w:val="24"/>
          <w:lang w:eastAsia="en-GB"/>
          <w14:ligatures w14:val="none"/>
        </w:rPr>
        <w:t xml:space="preserve"> </w:t>
      </w:r>
      <w:r w:rsidRPr="0083107C">
        <w:rPr>
          <w:rFonts w:ascii="Arial" w:eastAsia="Times New Roman" w:hAnsi="Arial" w:cs="Arial"/>
          <w:color w:val="000433"/>
          <w:kern w:val="0"/>
          <w:sz w:val="24"/>
          <w:szCs w:val="24"/>
          <w:lang w:eastAsia="en-GB"/>
          <w14:ligatures w14:val="none"/>
        </w:rPr>
        <w:t>For properties in England, the Tenant Fees Act 2019 means that in addition to rent, lettings agents can only charge tenants (or anyone acting on the tenant's behalf) the following permitted payments:</w:t>
      </w:r>
    </w:p>
    <w:p w14:paraId="6BD3D158" w14:textId="77777777" w:rsidR="0083107C" w:rsidRPr="0083107C" w:rsidRDefault="0083107C" w:rsidP="0083107C">
      <w:pPr>
        <w:numPr>
          <w:ilvl w:val="0"/>
          <w:numId w:val="1"/>
        </w:numPr>
        <w:spacing w:before="240"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Holding deposits (a maximum of 1 week's rent</w:t>
      </w:r>
      <w:proofErr w:type="gramStart"/>
      <w:r w:rsidRPr="0083107C">
        <w:rPr>
          <w:rFonts w:ascii="Arial" w:eastAsia="Times New Roman" w:hAnsi="Arial" w:cs="Arial"/>
          <w:color w:val="000433"/>
          <w:kern w:val="0"/>
          <w:sz w:val="24"/>
          <w:szCs w:val="24"/>
          <w:lang w:eastAsia="en-GB"/>
          <w14:ligatures w14:val="none"/>
        </w:rPr>
        <w:t>);</w:t>
      </w:r>
      <w:proofErr w:type="gramEnd"/>
    </w:p>
    <w:p w14:paraId="38131382" w14:textId="77777777" w:rsidR="0083107C" w:rsidRPr="0083107C" w:rsidRDefault="0083107C" w:rsidP="0083107C">
      <w:pPr>
        <w:numPr>
          <w:ilvl w:val="0"/>
          <w:numId w:val="1"/>
        </w:numPr>
        <w:spacing w:before="100" w:beforeAutospacing="1"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Deposits (a maximum deposit of 5 weeks' rent for annual rent below £50,000, or 6 weeks' rent for annual rental of £50,000 and above</w:t>
      </w:r>
      <w:proofErr w:type="gramStart"/>
      <w:r w:rsidRPr="0083107C">
        <w:rPr>
          <w:rFonts w:ascii="Arial" w:eastAsia="Times New Roman" w:hAnsi="Arial" w:cs="Arial"/>
          <w:color w:val="000433"/>
          <w:kern w:val="0"/>
          <w:sz w:val="24"/>
          <w:szCs w:val="24"/>
          <w:lang w:eastAsia="en-GB"/>
          <w14:ligatures w14:val="none"/>
        </w:rPr>
        <w:t>);</w:t>
      </w:r>
      <w:proofErr w:type="gramEnd"/>
    </w:p>
    <w:p w14:paraId="4EE03A6B" w14:textId="77777777" w:rsidR="0083107C" w:rsidRPr="0083107C" w:rsidRDefault="0083107C" w:rsidP="0083107C">
      <w:pPr>
        <w:numPr>
          <w:ilvl w:val="0"/>
          <w:numId w:val="1"/>
        </w:numPr>
        <w:spacing w:before="100" w:beforeAutospacing="1"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 xml:space="preserve">Payments to change a tenancy agreement </w:t>
      </w:r>
      <w:proofErr w:type="spellStart"/>
      <w:r w:rsidRPr="0083107C">
        <w:rPr>
          <w:rFonts w:ascii="Arial" w:eastAsia="Times New Roman" w:hAnsi="Arial" w:cs="Arial"/>
          <w:color w:val="000433"/>
          <w:kern w:val="0"/>
          <w:sz w:val="24"/>
          <w:szCs w:val="24"/>
          <w:lang w:eastAsia="en-GB"/>
          <w14:ligatures w14:val="none"/>
        </w:rPr>
        <w:t>eg.</w:t>
      </w:r>
      <w:proofErr w:type="spellEnd"/>
      <w:r w:rsidRPr="0083107C">
        <w:rPr>
          <w:rFonts w:ascii="Arial" w:eastAsia="Times New Roman" w:hAnsi="Arial" w:cs="Arial"/>
          <w:color w:val="000433"/>
          <w:kern w:val="0"/>
          <w:sz w:val="24"/>
          <w:szCs w:val="24"/>
          <w:lang w:eastAsia="en-GB"/>
          <w14:ligatures w14:val="none"/>
        </w:rPr>
        <w:t xml:space="preserve"> change of sharer (capped at £50 or, if higher, any reasonable costs</w:t>
      </w:r>
      <w:proofErr w:type="gramStart"/>
      <w:r w:rsidRPr="0083107C">
        <w:rPr>
          <w:rFonts w:ascii="Arial" w:eastAsia="Times New Roman" w:hAnsi="Arial" w:cs="Arial"/>
          <w:color w:val="000433"/>
          <w:kern w:val="0"/>
          <w:sz w:val="24"/>
          <w:szCs w:val="24"/>
          <w:lang w:eastAsia="en-GB"/>
          <w14:ligatures w14:val="none"/>
        </w:rPr>
        <w:t>);</w:t>
      </w:r>
      <w:proofErr w:type="gramEnd"/>
    </w:p>
    <w:p w14:paraId="0B2DECB2" w14:textId="77777777" w:rsidR="0083107C" w:rsidRPr="0083107C" w:rsidRDefault="0083107C" w:rsidP="0083107C">
      <w:pPr>
        <w:numPr>
          <w:ilvl w:val="0"/>
          <w:numId w:val="1"/>
        </w:numPr>
        <w:spacing w:before="100" w:beforeAutospacing="1"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Payments associated with early termination of a tenancy (capped at the landlord's loss or the agent's reasonably incurred costs</w:t>
      </w:r>
      <w:proofErr w:type="gramStart"/>
      <w:r w:rsidRPr="0083107C">
        <w:rPr>
          <w:rFonts w:ascii="Arial" w:eastAsia="Times New Roman" w:hAnsi="Arial" w:cs="Arial"/>
          <w:color w:val="000433"/>
          <w:kern w:val="0"/>
          <w:sz w:val="24"/>
          <w:szCs w:val="24"/>
          <w:lang w:eastAsia="en-GB"/>
          <w14:ligatures w14:val="none"/>
        </w:rPr>
        <w:t>);</w:t>
      </w:r>
      <w:proofErr w:type="gramEnd"/>
    </w:p>
    <w:p w14:paraId="7BDE29A0" w14:textId="77777777" w:rsidR="0083107C" w:rsidRPr="0083107C" w:rsidRDefault="0083107C" w:rsidP="0083107C">
      <w:pPr>
        <w:numPr>
          <w:ilvl w:val="0"/>
          <w:numId w:val="1"/>
        </w:numPr>
        <w:spacing w:before="100" w:beforeAutospacing="1"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 xml:space="preserve">Where required, utilities (electricity, gas or other fuel, water, sewerage), communication services "telephone, internet, cable/satellite television), TV </w:t>
      </w:r>
      <w:proofErr w:type="gramStart"/>
      <w:r w:rsidRPr="0083107C">
        <w:rPr>
          <w:rFonts w:ascii="Arial" w:eastAsia="Times New Roman" w:hAnsi="Arial" w:cs="Arial"/>
          <w:color w:val="000433"/>
          <w:kern w:val="0"/>
          <w:sz w:val="24"/>
          <w:szCs w:val="24"/>
          <w:lang w:eastAsia="en-GB"/>
          <w14:ligatures w14:val="none"/>
        </w:rPr>
        <w:t>licence;</w:t>
      </w:r>
      <w:proofErr w:type="gramEnd"/>
    </w:p>
    <w:p w14:paraId="14EFCB79" w14:textId="77777777" w:rsidR="0083107C" w:rsidRPr="0083107C" w:rsidRDefault="0083107C" w:rsidP="0083107C">
      <w:pPr>
        <w:numPr>
          <w:ilvl w:val="0"/>
          <w:numId w:val="1"/>
        </w:numPr>
        <w:spacing w:before="100" w:beforeAutospacing="1"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Council tax (payable to the billing authority</w:t>
      </w:r>
      <w:proofErr w:type="gramStart"/>
      <w:r w:rsidRPr="0083107C">
        <w:rPr>
          <w:rFonts w:ascii="Arial" w:eastAsia="Times New Roman" w:hAnsi="Arial" w:cs="Arial"/>
          <w:color w:val="000433"/>
          <w:kern w:val="0"/>
          <w:sz w:val="24"/>
          <w:szCs w:val="24"/>
          <w:lang w:eastAsia="en-GB"/>
          <w14:ligatures w14:val="none"/>
        </w:rPr>
        <w:t>);</w:t>
      </w:r>
      <w:proofErr w:type="gramEnd"/>
    </w:p>
    <w:p w14:paraId="4E5DAD9C" w14:textId="77777777" w:rsidR="0083107C" w:rsidRPr="0083107C" w:rsidRDefault="0083107C" w:rsidP="0083107C">
      <w:pPr>
        <w:numPr>
          <w:ilvl w:val="0"/>
          <w:numId w:val="1"/>
        </w:numPr>
        <w:spacing w:before="100" w:beforeAutospacing="1"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Interest payments for the late payment of rent (up to 3% above Bank of England's annual percentage rate</w:t>
      </w:r>
      <w:proofErr w:type="gramStart"/>
      <w:r w:rsidRPr="0083107C">
        <w:rPr>
          <w:rFonts w:ascii="Arial" w:eastAsia="Times New Roman" w:hAnsi="Arial" w:cs="Arial"/>
          <w:color w:val="000433"/>
          <w:kern w:val="0"/>
          <w:sz w:val="24"/>
          <w:szCs w:val="24"/>
          <w:lang w:eastAsia="en-GB"/>
          <w14:ligatures w14:val="none"/>
        </w:rPr>
        <w:t>);</w:t>
      </w:r>
      <w:proofErr w:type="gramEnd"/>
    </w:p>
    <w:p w14:paraId="7ADA0C8A" w14:textId="77777777" w:rsidR="0083107C" w:rsidRPr="0083107C" w:rsidRDefault="0083107C" w:rsidP="0083107C">
      <w:pPr>
        <w:numPr>
          <w:ilvl w:val="0"/>
          <w:numId w:val="1"/>
        </w:numPr>
        <w:spacing w:before="100" w:beforeAutospacing="1"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 xml:space="preserve">Reasonable costs for replacement of lost keys or other security </w:t>
      </w:r>
      <w:proofErr w:type="gramStart"/>
      <w:r w:rsidRPr="0083107C">
        <w:rPr>
          <w:rFonts w:ascii="Arial" w:eastAsia="Times New Roman" w:hAnsi="Arial" w:cs="Arial"/>
          <w:color w:val="000433"/>
          <w:kern w:val="0"/>
          <w:sz w:val="24"/>
          <w:szCs w:val="24"/>
          <w:lang w:eastAsia="en-GB"/>
          <w14:ligatures w14:val="none"/>
        </w:rPr>
        <w:t>devices;</w:t>
      </w:r>
      <w:proofErr w:type="gramEnd"/>
    </w:p>
    <w:p w14:paraId="1A20064B" w14:textId="77777777" w:rsidR="0083107C" w:rsidRPr="0083107C" w:rsidRDefault="0083107C" w:rsidP="0083107C">
      <w:pPr>
        <w:numPr>
          <w:ilvl w:val="0"/>
          <w:numId w:val="1"/>
        </w:numPr>
        <w:spacing w:before="100" w:beforeAutospacing="1"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Contractual damages in the event of the tenant's default of a tenancy agreement; and</w:t>
      </w:r>
    </w:p>
    <w:p w14:paraId="599E1DF9" w14:textId="77777777" w:rsidR="0083107C" w:rsidRPr="0083107C" w:rsidRDefault="0083107C" w:rsidP="0083107C">
      <w:pPr>
        <w:numPr>
          <w:ilvl w:val="0"/>
          <w:numId w:val="1"/>
        </w:numPr>
        <w:spacing w:before="100" w:beforeAutospacing="1"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Any other permitted payments under the Tenant Fees Act 2019 and regulations applicable at the relevant time.</w:t>
      </w:r>
    </w:p>
    <w:p w14:paraId="21F0B22D" w14:textId="77777777" w:rsidR="0083107C" w:rsidRPr="0083107C" w:rsidRDefault="0083107C" w:rsidP="0083107C">
      <w:pPr>
        <w:spacing w:after="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lastRenderedPageBreak/>
        <w:t xml:space="preserve">For properties in Wales, the Renting Homes (Fees etc.) (Wales) Act 2019 means that in addition to rent, lettings agents can only charge tenants the following permitted </w:t>
      </w:r>
      <w:proofErr w:type="gramStart"/>
      <w:r w:rsidRPr="0083107C">
        <w:rPr>
          <w:rFonts w:ascii="Arial" w:eastAsia="Times New Roman" w:hAnsi="Arial" w:cs="Arial"/>
          <w:color w:val="000433"/>
          <w:kern w:val="0"/>
          <w:sz w:val="24"/>
          <w:szCs w:val="24"/>
          <w:lang w:eastAsia="en-GB"/>
          <w14:ligatures w14:val="none"/>
        </w:rPr>
        <w:t>payments</w:t>
      </w:r>
      <w:proofErr w:type="gramEnd"/>
    </w:p>
    <w:p w14:paraId="29F01E39" w14:textId="77777777" w:rsidR="0083107C" w:rsidRPr="0083107C" w:rsidRDefault="0083107C" w:rsidP="0083107C">
      <w:pPr>
        <w:numPr>
          <w:ilvl w:val="0"/>
          <w:numId w:val="2"/>
        </w:numPr>
        <w:spacing w:before="240"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Holding deposits (a maximum of 1 week's rent</w:t>
      </w:r>
      <w:proofErr w:type="gramStart"/>
      <w:r w:rsidRPr="0083107C">
        <w:rPr>
          <w:rFonts w:ascii="Arial" w:eastAsia="Times New Roman" w:hAnsi="Arial" w:cs="Arial"/>
          <w:color w:val="000433"/>
          <w:kern w:val="0"/>
          <w:sz w:val="24"/>
          <w:szCs w:val="24"/>
          <w:lang w:eastAsia="en-GB"/>
          <w14:ligatures w14:val="none"/>
        </w:rPr>
        <w:t>);</w:t>
      </w:r>
      <w:proofErr w:type="gramEnd"/>
    </w:p>
    <w:p w14:paraId="7BC43B2F" w14:textId="77777777" w:rsidR="0083107C" w:rsidRPr="0083107C" w:rsidRDefault="0083107C" w:rsidP="0083107C">
      <w:pPr>
        <w:numPr>
          <w:ilvl w:val="0"/>
          <w:numId w:val="2"/>
        </w:numPr>
        <w:spacing w:before="100" w:beforeAutospacing="1"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 xml:space="preserve">Security </w:t>
      </w:r>
      <w:proofErr w:type="gramStart"/>
      <w:r w:rsidRPr="0083107C">
        <w:rPr>
          <w:rFonts w:ascii="Arial" w:eastAsia="Times New Roman" w:hAnsi="Arial" w:cs="Arial"/>
          <w:color w:val="000433"/>
          <w:kern w:val="0"/>
          <w:sz w:val="24"/>
          <w:szCs w:val="24"/>
          <w:lang w:eastAsia="en-GB"/>
          <w14:ligatures w14:val="none"/>
        </w:rPr>
        <w:t>deposits;</w:t>
      </w:r>
      <w:proofErr w:type="gramEnd"/>
    </w:p>
    <w:p w14:paraId="321F690B" w14:textId="77777777" w:rsidR="0083107C" w:rsidRPr="0083107C" w:rsidRDefault="0083107C" w:rsidP="0083107C">
      <w:pPr>
        <w:numPr>
          <w:ilvl w:val="0"/>
          <w:numId w:val="2"/>
        </w:numPr>
        <w:spacing w:before="100" w:beforeAutospacing="1"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 xml:space="preserve">Where required, utilities (electricity, gas or other fuel, water, sewerage), communication services "telephone, internet, cable/satellite television), TV </w:t>
      </w:r>
      <w:proofErr w:type="gramStart"/>
      <w:r w:rsidRPr="0083107C">
        <w:rPr>
          <w:rFonts w:ascii="Arial" w:eastAsia="Times New Roman" w:hAnsi="Arial" w:cs="Arial"/>
          <w:color w:val="000433"/>
          <w:kern w:val="0"/>
          <w:sz w:val="24"/>
          <w:szCs w:val="24"/>
          <w:lang w:eastAsia="en-GB"/>
          <w14:ligatures w14:val="none"/>
        </w:rPr>
        <w:t>licence;</w:t>
      </w:r>
      <w:proofErr w:type="gramEnd"/>
    </w:p>
    <w:p w14:paraId="7A0DA548" w14:textId="77777777" w:rsidR="0083107C" w:rsidRPr="0083107C" w:rsidRDefault="0083107C" w:rsidP="0083107C">
      <w:pPr>
        <w:numPr>
          <w:ilvl w:val="0"/>
          <w:numId w:val="2"/>
        </w:numPr>
        <w:spacing w:before="100" w:beforeAutospacing="1"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Council tax (payable to the billing authority</w:t>
      </w:r>
      <w:proofErr w:type="gramStart"/>
      <w:r w:rsidRPr="0083107C">
        <w:rPr>
          <w:rFonts w:ascii="Arial" w:eastAsia="Times New Roman" w:hAnsi="Arial" w:cs="Arial"/>
          <w:color w:val="000433"/>
          <w:kern w:val="0"/>
          <w:sz w:val="24"/>
          <w:szCs w:val="24"/>
          <w:lang w:eastAsia="en-GB"/>
          <w14:ligatures w14:val="none"/>
        </w:rPr>
        <w:t>);</w:t>
      </w:r>
      <w:proofErr w:type="gramEnd"/>
    </w:p>
    <w:p w14:paraId="788AB6A3" w14:textId="77777777" w:rsidR="0083107C" w:rsidRPr="0083107C" w:rsidRDefault="0083107C" w:rsidP="0083107C">
      <w:pPr>
        <w:numPr>
          <w:ilvl w:val="0"/>
          <w:numId w:val="2"/>
        </w:numPr>
        <w:spacing w:before="100" w:beforeAutospacing="1"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Payments for the late payment of rent (where required under the tenancy agreement</w:t>
      </w:r>
      <w:proofErr w:type="gramStart"/>
      <w:r w:rsidRPr="0083107C">
        <w:rPr>
          <w:rFonts w:ascii="Arial" w:eastAsia="Times New Roman" w:hAnsi="Arial" w:cs="Arial"/>
          <w:color w:val="000433"/>
          <w:kern w:val="0"/>
          <w:sz w:val="24"/>
          <w:szCs w:val="24"/>
          <w:lang w:eastAsia="en-GB"/>
          <w14:ligatures w14:val="none"/>
        </w:rPr>
        <w:t>);</w:t>
      </w:r>
      <w:proofErr w:type="gramEnd"/>
    </w:p>
    <w:p w14:paraId="7C8D723D" w14:textId="77777777" w:rsidR="0083107C" w:rsidRPr="0083107C" w:rsidRDefault="0083107C" w:rsidP="0083107C">
      <w:pPr>
        <w:numPr>
          <w:ilvl w:val="0"/>
          <w:numId w:val="2"/>
        </w:numPr>
        <w:spacing w:before="100" w:beforeAutospacing="1"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A breach of a term of the contract (where required under the tenancy agreement); and</w:t>
      </w:r>
    </w:p>
    <w:p w14:paraId="59648512" w14:textId="77777777" w:rsidR="0083107C" w:rsidRPr="0083107C" w:rsidRDefault="0083107C" w:rsidP="0083107C">
      <w:pPr>
        <w:numPr>
          <w:ilvl w:val="0"/>
          <w:numId w:val="2"/>
        </w:numPr>
        <w:spacing w:before="100" w:beforeAutospacing="1"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Any other permitted payments under the Renting Homes (Fees etc.) (Wales) Act and regulations applicable at the relevant time.</w:t>
      </w:r>
    </w:p>
    <w:p w14:paraId="0051E793" w14:textId="77777777" w:rsidR="0083107C" w:rsidRPr="0083107C" w:rsidRDefault="0083107C" w:rsidP="0083107C">
      <w:pPr>
        <w:spacing w:after="0" w:line="360" w:lineRule="atLeast"/>
        <w:rPr>
          <w:rFonts w:ascii="Arial" w:eastAsia="Times New Roman" w:hAnsi="Arial" w:cs="Arial"/>
          <w:color w:val="000433"/>
          <w:kern w:val="0"/>
          <w:sz w:val="24"/>
          <w:szCs w:val="24"/>
          <w:lang w:eastAsia="en-GB"/>
          <w14:ligatures w14:val="none"/>
        </w:rPr>
      </w:pPr>
      <w:r w:rsidRPr="0083107C">
        <w:rPr>
          <w:rFonts w:ascii="Tahoma" w:eastAsia="Times New Roman" w:hAnsi="Tahoma" w:cs="Tahoma"/>
          <w:color w:val="000433"/>
          <w:kern w:val="0"/>
          <w:sz w:val="24"/>
          <w:szCs w:val="24"/>
          <w:lang w:eastAsia="en-GB"/>
          <w14:ligatures w14:val="none"/>
        </w:rPr>
        <w:t xml:space="preserve">Tenant </w:t>
      </w:r>
      <w:proofErr w:type="spellStart"/>
      <w:r w:rsidRPr="0083107C">
        <w:rPr>
          <w:rFonts w:ascii="Tahoma" w:eastAsia="Times New Roman" w:hAnsi="Tahoma" w:cs="Tahoma"/>
          <w:color w:val="000433"/>
          <w:kern w:val="0"/>
          <w:sz w:val="24"/>
          <w:szCs w:val="24"/>
          <w:lang w:eastAsia="en-GB"/>
          <w14:ligatures w14:val="none"/>
        </w:rPr>
        <w:t>protection</w:t>
      </w:r>
      <w:r w:rsidRPr="0083107C">
        <w:rPr>
          <w:rFonts w:ascii="Arial" w:eastAsia="Times New Roman" w:hAnsi="Arial" w:cs="Arial"/>
          <w:color w:val="000433"/>
          <w:kern w:val="0"/>
          <w:sz w:val="24"/>
          <w:szCs w:val="24"/>
          <w:lang w:eastAsia="en-GB"/>
          <w14:ligatures w14:val="none"/>
        </w:rPr>
        <w:t>In</w:t>
      </w:r>
      <w:proofErr w:type="spellEnd"/>
      <w:r w:rsidRPr="0083107C">
        <w:rPr>
          <w:rFonts w:ascii="Arial" w:eastAsia="Times New Roman" w:hAnsi="Arial" w:cs="Arial"/>
          <w:color w:val="000433"/>
          <w:kern w:val="0"/>
          <w:sz w:val="24"/>
          <w:szCs w:val="24"/>
          <w:lang w:eastAsia="en-GB"/>
          <w14:ligatures w14:val="none"/>
        </w:rPr>
        <w:t xml:space="preserve"> addition to publishing relevant fees, lettings agents are also required to publish details of:</w:t>
      </w:r>
    </w:p>
    <w:p w14:paraId="612D9252" w14:textId="77777777" w:rsidR="0083107C" w:rsidRPr="0083107C" w:rsidRDefault="0083107C" w:rsidP="0083107C">
      <w:pPr>
        <w:numPr>
          <w:ilvl w:val="0"/>
          <w:numId w:val="3"/>
        </w:numPr>
        <w:spacing w:before="240"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the redress scheme they are a member of; and</w:t>
      </w:r>
    </w:p>
    <w:p w14:paraId="2C533C2B" w14:textId="77777777" w:rsidR="0083107C" w:rsidRPr="0083107C" w:rsidRDefault="0083107C" w:rsidP="0083107C">
      <w:pPr>
        <w:numPr>
          <w:ilvl w:val="0"/>
          <w:numId w:val="3"/>
        </w:numPr>
        <w:spacing w:before="100" w:beforeAutospacing="1" w:after="240" w:line="360" w:lineRule="atLeast"/>
        <w:rPr>
          <w:rFonts w:ascii="Arial" w:eastAsia="Times New Roman" w:hAnsi="Arial" w:cs="Arial"/>
          <w:color w:val="000433"/>
          <w:kern w:val="0"/>
          <w:sz w:val="24"/>
          <w:szCs w:val="24"/>
          <w:lang w:eastAsia="en-GB"/>
          <w14:ligatures w14:val="none"/>
        </w:rPr>
      </w:pPr>
      <w:r w:rsidRPr="0083107C">
        <w:rPr>
          <w:rFonts w:ascii="Arial" w:eastAsia="Times New Roman" w:hAnsi="Arial" w:cs="Arial"/>
          <w:color w:val="000433"/>
          <w:kern w:val="0"/>
          <w:sz w:val="24"/>
          <w:szCs w:val="24"/>
          <w:lang w:eastAsia="en-GB"/>
          <w14:ligatures w14:val="none"/>
        </w:rPr>
        <w:t>the name of the approved or designated Client Money Protection scheme they are a member of (if any).</w:t>
      </w:r>
    </w:p>
    <w:p w14:paraId="10380076" w14:textId="77777777" w:rsidR="0083107C" w:rsidRPr="0083107C" w:rsidRDefault="0083107C" w:rsidP="0083107C">
      <w:pPr>
        <w:spacing w:after="0" w:line="360" w:lineRule="atLeast"/>
        <w:rPr>
          <w:rFonts w:ascii="Arial" w:eastAsia="Times New Roman" w:hAnsi="Arial" w:cs="Arial"/>
          <w:i/>
          <w:iCs/>
          <w:color w:val="000433"/>
          <w:kern w:val="0"/>
          <w:sz w:val="24"/>
          <w:szCs w:val="24"/>
          <w:lang w:eastAsia="en-GB"/>
          <w14:ligatures w14:val="none"/>
        </w:rPr>
      </w:pPr>
      <w:r w:rsidRPr="0083107C">
        <w:rPr>
          <w:rFonts w:ascii="Arial" w:eastAsia="Times New Roman" w:hAnsi="Arial" w:cs="Arial"/>
          <w:i/>
          <w:iCs/>
          <w:color w:val="000433"/>
          <w:kern w:val="0"/>
          <w:sz w:val="24"/>
          <w:szCs w:val="24"/>
          <w:lang w:eastAsia="en-GB"/>
          <w14:ligatures w14:val="none"/>
        </w:rPr>
        <w:t xml:space="preserve">Please note that lettings agents are required by law to publish on their </w:t>
      </w:r>
      <w:proofErr w:type="gramStart"/>
      <w:r w:rsidRPr="0083107C">
        <w:rPr>
          <w:rFonts w:ascii="Arial" w:eastAsia="Times New Roman" w:hAnsi="Arial" w:cs="Arial"/>
          <w:i/>
          <w:iCs/>
          <w:color w:val="000433"/>
          <w:kern w:val="0"/>
          <w:sz w:val="24"/>
          <w:szCs w:val="24"/>
          <w:lang w:eastAsia="en-GB"/>
          <w14:ligatures w14:val="none"/>
        </w:rPr>
        <w:t>websites</w:t>
      </w:r>
      <w:proofErr w:type="gramEnd"/>
      <w:r w:rsidRPr="0083107C">
        <w:rPr>
          <w:rFonts w:ascii="Arial" w:eastAsia="Times New Roman" w:hAnsi="Arial" w:cs="Arial"/>
          <w:i/>
          <w:iCs/>
          <w:color w:val="000433"/>
          <w:kern w:val="0"/>
          <w:sz w:val="24"/>
          <w:szCs w:val="24"/>
          <w:lang w:eastAsia="en-GB"/>
          <w14:ligatures w14:val="none"/>
        </w:rPr>
        <w:t xml:space="preserve"> information for potential tenants about relevant fees, redress schemes and client money protection schemes (including the names of those schemes). Relevant fees must also be published on third party websites, such as Rightmove. For properties to rent in England and Wales, details of the agent's membership of any redress scheme and client money protection scheme must also be published with their fees on Rightmove. It is the agent's responsibility to ensure that all relevant information is provided to Rightmove and is up to date and accurate. If the relevant information does not appear here, the agent may have included it within the property description.</w:t>
      </w:r>
    </w:p>
    <w:p w14:paraId="70384F95" w14:textId="77777777" w:rsidR="004D729E" w:rsidRDefault="004D729E"/>
    <w:sectPr w:rsidR="004D72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57DCC"/>
    <w:multiLevelType w:val="multilevel"/>
    <w:tmpl w:val="B3D8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05F0F"/>
    <w:multiLevelType w:val="multilevel"/>
    <w:tmpl w:val="2714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64932"/>
    <w:multiLevelType w:val="multilevel"/>
    <w:tmpl w:val="9A98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301505">
    <w:abstractNumId w:val="1"/>
  </w:num>
  <w:num w:numId="2" w16cid:durableId="1023090329">
    <w:abstractNumId w:val="2"/>
  </w:num>
  <w:num w:numId="3" w16cid:durableId="97891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FB"/>
    <w:rsid w:val="004D729E"/>
    <w:rsid w:val="005150FB"/>
    <w:rsid w:val="0076160D"/>
    <w:rsid w:val="00831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517A"/>
  <w15:chartTrackingRefBased/>
  <w15:docId w15:val="{E6A392EE-2F4B-4D50-8DD3-F1E99AFF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3107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107C"/>
    <w:rPr>
      <w:rFonts w:ascii="Times New Roman" w:eastAsia="Times New Roman" w:hAnsi="Times New Roman" w:cs="Times New Roman"/>
      <w:b/>
      <w:bCs/>
      <w:kern w:val="0"/>
      <w:sz w:val="27"/>
      <w:szCs w:val="27"/>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556106">
      <w:bodyDiv w:val="1"/>
      <w:marLeft w:val="0"/>
      <w:marRight w:val="0"/>
      <w:marTop w:val="0"/>
      <w:marBottom w:val="0"/>
      <w:divBdr>
        <w:top w:val="none" w:sz="0" w:space="0" w:color="auto"/>
        <w:left w:val="none" w:sz="0" w:space="0" w:color="auto"/>
        <w:bottom w:val="none" w:sz="0" w:space="0" w:color="auto"/>
        <w:right w:val="none" w:sz="0" w:space="0" w:color="auto"/>
      </w:divBdr>
      <w:divsChild>
        <w:div w:id="1868444250">
          <w:marLeft w:val="0"/>
          <w:marRight w:val="0"/>
          <w:marTop w:val="0"/>
          <w:marBottom w:val="0"/>
          <w:divBdr>
            <w:top w:val="none" w:sz="0" w:space="0" w:color="auto"/>
            <w:left w:val="none" w:sz="0" w:space="0" w:color="auto"/>
            <w:bottom w:val="none" w:sz="0" w:space="0" w:color="auto"/>
            <w:right w:val="none" w:sz="0" w:space="0" w:color="auto"/>
          </w:divBdr>
          <w:divsChild>
            <w:div w:id="675613152">
              <w:marLeft w:val="0"/>
              <w:marRight w:val="0"/>
              <w:marTop w:val="0"/>
              <w:marBottom w:val="0"/>
              <w:divBdr>
                <w:top w:val="none" w:sz="0" w:space="0" w:color="auto"/>
                <w:left w:val="none" w:sz="0" w:space="0" w:color="auto"/>
                <w:bottom w:val="none" w:sz="0" w:space="0" w:color="auto"/>
                <w:right w:val="none" w:sz="0" w:space="0" w:color="auto"/>
              </w:divBdr>
            </w:div>
            <w:div w:id="170073910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Charlotte</cp:lastModifiedBy>
  <cp:revision>2</cp:revision>
  <dcterms:created xsi:type="dcterms:W3CDTF">2023-12-15T12:02:00Z</dcterms:created>
  <dcterms:modified xsi:type="dcterms:W3CDTF">2023-12-15T12:02:00Z</dcterms:modified>
</cp:coreProperties>
</file>